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27" w:rsidRPr="00731427" w:rsidRDefault="00731427" w:rsidP="00731427">
      <w:pPr>
        <w:pStyle w:val="NoSpacing"/>
        <w:tabs>
          <w:tab w:val="left" w:pos="4145"/>
        </w:tabs>
        <w:rPr>
          <w:rFonts w:asciiTheme="majorHAnsi" w:hAnsiTheme="majorHAnsi" w:cs="Arial"/>
          <w:sz w:val="18"/>
          <w:szCs w:val="18"/>
        </w:rPr>
      </w:pPr>
      <w:r w:rsidRPr="00731427">
        <w:rPr>
          <w:rFonts w:asciiTheme="majorHAnsi" w:hAnsiTheme="majorHAnsi" w:cs="Arial"/>
          <w:sz w:val="18"/>
          <w:szCs w:val="18"/>
        </w:rPr>
        <w:t>5/31/15</w:t>
      </w:r>
    </w:p>
    <w:p w:rsidR="00731427" w:rsidRPr="00731427" w:rsidRDefault="00731427" w:rsidP="00731427">
      <w:pPr>
        <w:widowControl w:val="0"/>
        <w:autoSpaceDE w:val="0"/>
        <w:autoSpaceDN w:val="0"/>
        <w:adjustRightInd w:val="0"/>
        <w:rPr>
          <w:rFonts w:asciiTheme="majorHAnsi" w:hAnsiTheme="majorHAnsi" w:cs="Arial"/>
          <w:color w:val="000000"/>
          <w:sz w:val="18"/>
          <w:szCs w:val="18"/>
          <w:u w:val="single"/>
        </w:rPr>
      </w:pPr>
      <w:r w:rsidRPr="00731427">
        <w:rPr>
          <w:rFonts w:asciiTheme="majorHAnsi" w:hAnsiTheme="majorHAnsi" w:cs="Arial"/>
          <w:b/>
          <w:i/>
          <w:color w:val="000000"/>
          <w:sz w:val="18"/>
          <w:szCs w:val="18"/>
          <w:u w:val="single"/>
        </w:rPr>
        <w:t>Recap of 5/24/15 (1 Peter 4:3-6):</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1.  “Some…present Christianity with the same adjectives as a travel folder for a Caribbean cruise.  This chapter </w:t>
      </w:r>
      <w:r w:rsidR="005326B3" w:rsidRPr="00731427">
        <w:rPr>
          <w:rFonts w:asciiTheme="majorHAnsi" w:hAnsiTheme="majorHAnsi" w:cs="Arial"/>
          <w:bCs/>
          <w:i/>
          <w:color w:val="000000"/>
          <w:sz w:val="18"/>
          <w:szCs w:val="18"/>
        </w:rPr>
        <w:t>makes</w:t>
      </w:r>
      <w:r w:rsidRPr="00731427">
        <w:rPr>
          <w:rFonts w:asciiTheme="majorHAnsi" w:hAnsiTheme="majorHAnsi" w:cs="Arial"/>
          <w:bCs/>
          <w:i/>
          <w:color w:val="000000"/>
          <w:sz w:val="18"/>
          <w:szCs w:val="18"/>
        </w:rPr>
        <w:t xml:space="preserve"> no such claims!  Peter tells us to look at the experience of our Lord Jesus Christ.  He reminds us that as Christians we are to follow Him in His sufferings as well as His glory.  Although others may be surprised by our new way of life, we are not to be surprised if our experience is patterned after the Lord’s…</w:t>
      </w:r>
      <w:proofErr w:type="gramStart"/>
      <w:r w:rsidRPr="00731427">
        <w:rPr>
          <w:rFonts w:asciiTheme="majorHAnsi" w:hAnsiTheme="majorHAnsi" w:cs="Arial"/>
          <w:bCs/>
          <w:i/>
          <w:color w:val="000000"/>
          <w:sz w:val="18"/>
          <w:szCs w:val="18"/>
        </w:rPr>
        <w:t>.  those</w:t>
      </w:r>
      <w:proofErr w:type="gramEnd"/>
      <w:r w:rsidRPr="00731427">
        <w:rPr>
          <w:rFonts w:asciiTheme="majorHAnsi" w:hAnsiTheme="majorHAnsi" w:cs="Arial"/>
          <w:bCs/>
          <w:i/>
          <w:color w:val="000000"/>
          <w:sz w:val="18"/>
          <w:szCs w:val="18"/>
        </w:rPr>
        <w:t xml:space="preserve"> who trust in Jesus Christ will not be disappointed even in suffering we are assured of His faithfulness.”  (Authorship unknown)</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proofErr w:type="gramStart"/>
      <w:r w:rsidRPr="00731427">
        <w:rPr>
          <w:rFonts w:asciiTheme="majorHAnsi" w:hAnsiTheme="majorHAnsi" w:cs="Arial"/>
          <w:bCs/>
          <w:i/>
          <w:color w:val="000000"/>
          <w:sz w:val="18"/>
          <w:szCs w:val="18"/>
        </w:rPr>
        <w:t>2.  As</w:t>
      </w:r>
      <w:proofErr w:type="gramEnd"/>
      <w:r w:rsidRPr="00731427">
        <w:rPr>
          <w:rFonts w:asciiTheme="majorHAnsi" w:hAnsiTheme="majorHAnsi" w:cs="Arial"/>
          <w:bCs/>
          <w:i/>
          <w:color w:val="000000"/>
          <w:sz w:val="18"/>
          <w:szCs w:val="18"/>
        </w:rPr>
        <w:t xml:space="preserve"> believer’s in Jesus Christ we are called to live in a different way in our attitude toward morality, toward possessions, toward other people/relationships.  We are not to imitate the non-Christian world around us in these ways.  We spent enough time in the past in that kind of lifestyle (Peter characterizes as sexually promiscuous, drunken, and idolatrous.</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3.  “It’s easy for us to accommodate ourselves to the society in which we live.  Unless we are careful, we end up with the same priorities as everyone else.  May our priority system is overdue for a biblical check-up.” (Dr. Earl </w:t>
      </w:r>
      <w:proofErr w:type="spellStart"/>
      <w:r w:rsidRPr="00731427">
        <w:rPr>
          <w:rFonts w:asciiTheme="majorHAnsi" w:hAnsiTheme="majorHAnsi" w:cs="Arial"/>
          <w:bCs/>
          <w:i/>
          <w:color w:val="000000"/>
          <w:sz w:val="18"/>
          <w:szCs w:val="18"/>
        </w:rPr>
        <w:t>Radmacher</w:t>
      </w:r>
      <w:proofErr w:type="spellEnd"/>
      <w:r w:rsidRPr="00731427">
        <w:rPr>
          <w:rFonts w:asciiTheme="majorHAnsi" w:hAnsiTheme="majorHAnsi" w:cs="Arial"/>
          <w:bCs/>
          <w:i/>
          <w:color w:val="000000"/>
          <w:sz w:val="18"/>
          <w:szCs w:val="18"/>
        </w:rPr>
        <w:t>)</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4.  A Christian lifestyle of godliness is a condemnation of the values of pagan society.  The amazement of unbelievers soon turns to hatred of believers and our values.  We are seen by the world as a roadblock to their unrighteous agenda. Peter encourages Christians under persecution with the reminder that unbelievers will have to give an account of </w:t>
      </w:r>
      <w:proofErr w:type="gramStart"/>
      <w:r w:rsidRPr="00731427">
        <w:rPr>
          <w:rFonts w:asciiTheme="majorHAnsi" w:hAnsiTheme="majorHAnsi" w:cs="Arial"/>
          <w:bCs/>
          <w:i/>
          <w:color w:val="000000"/>
          <w:sz w:val="18"/>
          <w:szCs w:val="18"/>
        </w:rPr>
        <w:t>themselves</w:t>
      </w:r>
      <w:proofErr w:type="gramEnd"/>
      <w:r w:rsidRPr="00731427">
        <w:rPr>
          <w:rFonts w:asciiTheme="majorHAnsi" w:hAnsiTheme="majorHAnsi" w:cs="Arial"/>
          <w:bCs/>
          <w:i/>
          <w:color w:val="000000"/>
          <w:sz w:val="18"/>
          <w:szCs w:val="18"/>
        </w:rPr>
        <w:t xml:space="preserve"> to God.  They may be in control now, but ultimately will face God’s judgment.</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5.  Lessons from 3:18-4:6:  Christians must expect opposition (Jesus is the example); Christians must serve God by faith; we can be encouraged because we are identified with Christ’s victory; Jesus is the only savior and the lost world needs to hear His gospel, there is no second chance; water baptism is important, by it we identify with Jesus and show that we have broken with the old life.  (Warren Wiersbe).  Additionally we must live in the victory over sin that Jesus has provided for us (reckon ourselves dead to sin, alive to righteousness); we must choose the will of God over the desire of the flesh; we must stand for God’s truth whatever the cost; and we must leave final judgment in God’s hands.</w:t>
      </w:r>
    </w:p>
    <w:p w:rsidR="002C3BB9" w:rsidRPr="00731427" w:rsidRDefault="002C3BB9" w:rsidP="002C3BB9">
      <w:pPr>
        <w:widowControl w:val="0"/>
        <w:autoSpaceDE w:val="0"/>
        <w:autoSpaceDN w:val="0"/>
        <w:adjustRightInd w:val="0"/>
        <w:rPr>
          <w:rFonts w:asciiTheme="majorHAnsi" w:hAnsiTheme="majorHAnsi" w:cs="Arial"/>
          <w:b/>
          <w:bCs/>
          <w:i/>
          <w:color w:val="000000"/>
          <w:sz w:val="22"/>
          <w:szCs w:val="22"/>
        </w:rPr>
      </w:pPr>
    </w:p>
    <w:p w:rsidR="00731427" w:rsidRPr="00731427" w:rsidRDefault="00731427" w:rsidP="00731427">
      <w:pPr>
        <w:widowControl w:val="0"/>
        <w:autoSpaceDE w:val="0"/>
        <w:autoSpaceDN w:val="0"/>
        <w:adjustRightInd w:val="0"/>
        <w:rPr>
          <w:rFonts w:asciiTheme="majorHAnsi" w:hAnsiTheme="majorHAnsi" w:cs="Arial"/>
          <w:b/>
          <w:bCs/>
          <w:color w:val="000000"/>
          <w:sz w:val="22"/>
          <w:szCs w:val="22"/>
        </w:rPr>
      </w:pPr>
      <w:r w:rsidRPr="00731427">
        <w:rPr>
          <w:rFonts w:asciiTheme="majorHAnsi" w:hAnsiTheme="majorHAnsi" w:cs="Arial"/>
          <w:b/>
          <w:iCs/>
          <w:color w:val="000000"/>
          <w:sz w:val="22"/>
          <w:szCs w:val="22"/>
        </w:rPr>
        <w:t>“While We Wait“</w:t>
      </w:r>
    </w:p>
    <w:p w:rsidR="00E96751" w:rsidRDefault="00731427" w:rsidP="00D73B72">
      <w:pPr>
        <w:widowControl w:val="0"/>
        <w:autoSpaceDE w:val="0"/>
        <w:autoSpaceDN w:val="0"/>
        <w:adjustRightInd w:val="0"/>
        <w:rPr>
          <w:rFonts w:asciiTheme="majorHAnsi" w:hAnsiTheme="majorHAnsi" w:cs="Arial"/>
          <w:b/>
          <w:bCs/>
          <w:color w:val="000000"/>
          <w:sz w:val="22"/>
          <w:szCs w:val="22"/>
        </w:rPr>
      </w:pPr>
      <w:r w:rsidRPr="00731427">
        <w:rPr>
          <w:rFonts w:asciiTheme="majorHAnsi" w:hAnsiTheme="majorHAnsi" w:cs="Arial"/>
          <w:b/>
          <w:bCs/>
          <w:color w:val="000000"/>
          <w:sz w:val="22"/>
          <w:szCs w:val="22"/>
        </w:rPr>
        <w:t>1 Peter 4:7-11</w:t>
      </w:r>
    </w:p>
    <w:p w:rsidR="00731427" w:rsidRPr="00731427" w:rsidRDefault="00731427" w:rsidP="00D73B72">
      <w:pPr>
        <w:widowControl w:val="0"/>
        <w:autoSpaceDE w:val="0"/>
        <w:autoSpaceDN w:val="0"/>
        <w:adjustRightInd w:val="0"/>
        <w:rPr>
          <w:rFonts w:asciiTheme="majorHAnsi" w:hAnsiTheme="majorHAnsi" w:cs="Arial"/>
          <w:b/>
          <w:bCs/>
          <w:color w:val="000000"/>
          <w:sz w:val="22"/>
          <w:szCs w:val="22"/>
        </w:rPr>
      </w:pPr>
    </w:p>
    <w:p w:rsidR="00D351D4" w:rsidRPr="00731427" w:rsidRDefault="00C14480" w:rsidP="006E1409">
      <w:pPr>
        <w:pStyle w:val="NoSpacing"/>
        <w:rPr>
          <w:rFonts w:asciiTheme="majorHAnsi" w:hAnsiTheme="majorHAnsi" w:cs="Arial"/>
          <w:b/>
          <w:sz w:val="22"/>
          <w:szCs w:val="22"/>
        </w:rPr>
      </w:pPr>
      <w:r w:rsidRPr="00731427">
        <w:rPr>
          <w:rFonts w:asciiTheme="majorHAnsi" w:hAnsiTheme="majorHAnsi"/>
          <w:b/>
          <w:sz w:val="22"/>
          <w:szCs w:val="22"/>
        </w:rPr>
        <w:t xml:space="preserve">  </w:t>
      </w:r>
      <w:r w:rsidR="00731427">
        <w:rPr>
          <w:rFonts w:asciiTheme="majorHAnsi" w:hAnsiTheme="majorHAnsi" w:cs="Arial"/>
          <w:b/>
          <w:sz w:val="22"/>
          <w:szCs w:val="22"/>
        </w:rPr>
        <w:t xml:space="preserve">I. </w:t>
      </w:r>
      <w:r w:rsidR="00731427" w:rsidRPr="00731427">
        <w:rPr>
          <w:rFonts w:asciiTheme="majorHAnsi" w:hAnsiTheme="majorHAnsi" w:cs="Arial"/>
          <w:b/>
          <w:sz w:val="22"/>
          <w:szCs w:val="22"/>
        </w:rPr>
        <w:t>Doctrine   vs. 7a</w:t>
      </w:r>
    </w:p>
    <w:tbl>
      <w:tblPr>
        <w:tblStyle w:val="TableGrid"/>
        <w:tblW w:w="0" w:type="auto"/>
        <w:tblBorders>
          <w:left w:val="none" w:sz="0" w:space="0" w:color="auto"/>
          <w:right w:val="none" w:sz="0" w:space="0" w:color="auto"/>
        </w:tblBorders>
        <w:tblLook w:val="04A0"/>
      </w:tblPr>
      <w:tblGrid>
        <w:gridCol w:w="7416"/>
      </w:tblGrid>
      <w:tr w:rsidR="00D351D4" w:rsidRPr="00731427" w:rsidTr="00E936F8">
        <w:tc>
          <w:tcPr>
            <w:tcW w:w="7416" w:type="dxa"/>
            <w:tcBorders>
              <w:top w:val="nil"/>
              <w:bottom w:val="single" w:sz="4" w:space="0" w:color="auto"/>
            </w:tcBorders>
          </w:tcPr>
          <w:p w:rsidR="00D351D4" w:rsidRPr="00731427" w:rsidRDefault="00D351D4" w:rsidP="00F06FAB">
            <w:pPr>
              <w:pStyle w:val="NoSpacing"/>
              <w:rPr>
                <w:rFonts w:asciiTheme="majorHAnsi" w:hAnsiTheme="majorHAnsi" w:cs="Arial"/>
                <w:b/>
                <w:sz w:val="22"/>
                <w:szCs w:val="22"/>
              </w:rPr>
            </w:pPr>
          </w:p>
        </w:tc>
      </w:tr>
      <w:tr w:rsidR="00A93731" w:rsidRPr="00731427" w:rsidTr="00E936F8">
        <w:tc>
          <w:tcPr>
            <w:tcW w:w="7416" w:type="dxa"/>
            <w:tcBorders>
              <w:top w:val="nil"/>
              <w:bottom w:val="single" w:sz="4" w:space="0" w:color="auto"/>
            </w:tcBorders>
          </w:tcPr>
          <w:p w:rsidR="00A93731" w:rsidRPr="00731427" w:rsidRDefault="00A93731" w:rsidP="00F06FAB">
            <w:pPr>
              <w:pStyle w:val="NoSpacing"/>
              <w:rPr>
                <w:rFonts w:asciiTheme="majorHAnsi" w:hAnsiTheme="majorHAnsi" w:cs="Arial"/>
                <w:b/>
                <w:sz w:val="22"/>
                <w:szCs w:val="22"/>
              </w:rPr>
            </w:pPr>
          </w:p>
        </w:tc>
      </w:tr>
      <w:tr w:rsidR="00CD30D9" w:rsidRPr="00731427" w:rsidTr="00CF0E57">
        <w:trPr>
          <w:trHeight w:val="215"/>
        </w:trPr>
        <w:tc>
          <w:tcPr>
            <w:tcW w:w="7416" w:type="dxa"/>
            <w:tcBorders>
              <w:top w:val="single" w:sz="4" w:space="0" w:color="auto"/>
              <w:bottom w:val="single" w:sz="4" w:space="0" w:color="auto"/>
            </w:tcBorders>
          </w:tcPr>
          <w:p w:rsidR="00CD30D9" w:rsidRPr="00731427" w:rsidRDefault="00CD30D9" w:rsidP="00F06FAB">
            <w:pPr>
              <w:pStyle w:val="NoSpacing"/>
              <w:rPr>
                <w:rFonts w:asciiTheme="majorHAnsi" w:hAnsiTheme="majorHAnsi" w:cs="Arial"/>
                <w:b/>
                <w:sz w:val="22"/>
                <w:szCs w:val="22"/>
              </w:rPr>
            </w:pPr>
          </w:p>
        </w:tc>
      </w:tr>
    </w:tbl>
    <w:p w:rsidR="00BE5661" w:rsidRPr="00731427" w:rsidRDefault="00BE5661" w:rsidP="00D351D4">
      <w:pPr>
        <w:widowControl w:val="0"/>
        <w:autoSpaceDE w:val="0"/>
        <w:autoSpaceDN w:val="0"/>
        <w:adjustRightInd w:val="0"/>
        <w:rPr>
          <w:rFonts w:asciiTheme="majorHAnsi" w:hAnsiTheme="majorHAnsi" w:cs="Arial"/>
          <w:b/>
          <w:sz w:val="22"/>
          <w:szCs w:val="22"/>
        </w:rPr>
      </w:pPr>
    </w:p>
    <w:p w:rsidR="00D351D4" w:rsidRPr="00731427" w:rsidRDefault="00731427" w:rsidP="00C14480">
      <w:pPr>
        <w:pStyle w:val="NoSpacing"/>
        <w:tabs>
          <w:tab w:val="left" w:pos="4145"/>
        </w:tabs>
        <w:rPr>
          <w:rFonts w:asciiTheme="majorHAnsi" w:hAnsiTheme="majorHAnsi" w:cs="Arial"/>
          <w:b/>
          <w:sz w:val="22"/>
          <w:szCs w:val="22"/>
        </w:rPr>
      </w:pPr>
      <w:r w:rsidRPr="00731427">
        <w:rPr>
          <w:rFonts w:asciiTheme="majorHAnsi" w:hAnsiTheme="majorHAnsi" w:cs="Arial"/>
          <w:b/>
          <w:sz w:val="22"/>
          <w:szCs w:val="22"/>
        </w:rPr>
        <w:t>II</w:t>
      </w:r>
      <w:r>
        <w:rPr>
          <w:rFonts w:asciiTheme="majorHAnsi" w:hAnsiTheme="majorHAnsi" w:cs="Arial"/>
          <w:b/>
          <w:sz w:val="22"/>
          <w:szCs w:val="22"/>
        </w:rPr>
        <w:t xml:space="preserve">. </w:t>
      </w:r>
      <w:r w:rsidRPr="00731427">
        <w:rPr>
          <w:rFonts w:asciiTheme="majorHAnsi" w:hAnsiTheme="majorHAnsi" w:cs="Arial"/>
          <w:b/>
          <w:sz w:val="22"/>
          <w:szCs w:val="22"/>
        </w:rPr>
        <w:t>Duty   vv. 7b-11a</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731427" w:rsidTr="00F06FAB">
        <w:tc>
          <w:tcPr>
            <w:tcW w:w="7416" w:type="dxa"/>
          </w:tcPr>
          <w:p w:rsidR="00D351D4" w:rsidRPr="00731427" w:rsidRDefault="00D351D4" w:rsidP="00F06FAB">
            <w:pPr>
              <w:pStyle w:val="NoSpacing"/>
              <w:rPr>
                <w:rFonts w:asciiTheme="majorHAnsi" w:hAnsiTheme="majorHAnsi" w:cs="Arial"/>
                <w:b/>
                <w:sz w:val="22"/>
                <w:szCs w:val="22"/>
              </w:rPr>
            </w:pPr>
          </w:p>
        </w:tc>
      </w:tr>
      <w:tr w:rsidR="00D351D4" w:rsidRPr="00731427" w:rsidTr="00F06FAB">
        <w:tc>
          <w:tcPr>
            <w:tcW w:w="7416" w:type="dxa"/>
          </w:tcPr>
          <w:p w:rsidR="00D351D4" w:rsidRPr="00731427" w:rsidRDefault="00D351D4" w:rsidP="00F06FAB">
            <w:pPr>
              <w:pStyle w:val="NoSpacing"/>
              <w:rPr>
                <w:rFonts w:asciiTheme="majorHAnsi" w:hAnsiTheme="majorHAnsi" w:cs="Arial"/>
                <w:b/>
                <w:sz w:val="22"/>
                <w:szCs w:val="22"/>
              </w:rPr>
            </w:pPr>
          </w:p>
        </w:tc>
      </w:tr>
      <w:tr w:rsidR="00D34363" w:rsidRPr="00731427" w:rsidTr="00F06FAB">
        <w:tc>
          <w:tcPr>
            <w:tcW w:w="7416" w:type="dxa"/>
          </w:tcPr>
          <w:p w:rsidR="00D34363" w:rsidRPr="00731427" w:rsidRDefault="00D34363" w:rsidP="00F06FAB">
            <w:pPr>
              <w:pStyle w:val="NoSpacing"/>
              <w:rPr>
                <w:rFonts w:asciiTheme="majorHAnsi" w:hAnsiTheme="majorHAnsi" w:cs="Arial"/>
                <w:b/>
                <w:sz w:val="22"/>
                <w:szCs w:val="22"/>
              </w:rPr>
            </w:pPr>
          </w:p>
        </w:tc>
      </w:tr>
    </w:tbl>
    <w:p w:rsidR="003467B1" w:rsidRPr="00731427" w:rsidRDefault="003467B1" w:rsidP="006E0FBD">
      <w:pPr>
        <w:pStyle w:val="NoSpacing"/>
        <w:tabs>
          <w:tab w:val="left" w:pos="4145"/>
        </w:tabs>
        <w:rPr>
          <w:rFonts w:asciiTheme="majorHAnsi" w:hAnsiTheme="majorHAnsi" w:cs="Arial"/>
          <w:b/>
          <w:sz w:val="22"/>
          <w:szCs w:val="22"/>
        </w:rPr>
      </w:pPr>
    </w:p>
    <w:p w:rsidR="00731427" w:rsidRPr="00731427" w:rsidRDefault="00731427" w:rsidP="00731427">
      <w:pPr>
        <w:pStyle w:val="NoSpacing"/>
        <w:tabs>
          <w:tab w:val="left" w:pos="4145"/>
        </w:tabs>
        <w:rPr>
          <w:rFonts w:asciiTheme="majorHAnsi" w:hAnsiTheme="majorHAnsi" w:cs="Arial"/>
          <w:b/>
          <w:sz w:val="22"/>
          <w:szCs w:val="22"/>
        </w:rPr>
      </w:pPr>
      <w:r w:rsidRPr="00731427">
        <w:rPr>
          <w:rFonts w:asciiTheme="majorHAnsi" w:hAnsiTheme="majorHAnsi" w:cs="Arial"/>
          <w:b/>
          <w:sz w:val="22"/>
          <w:szCs w:val="22"/>
        </w:rPr>
        <w:t>III.</w:t>
      </w:r>
      <w:r>
        <w:rPr>
          <w:rFonts w:asciiTheme="majorHAnsi" w:hAnsiTheme="majorHAnsi" w:cs="Arial"/>
          <w:b/>
          <w:sz w:val="22"/>
          <w:szCs w:val="22"/>
        </w:rPr>
        <w:t xml:space="preserve"> </w:t>
      </w:r>
      <w:r w:rsidRPr="00731427">
        <w:rPr>
          <w:rFonts w:asciiTheme="majorHAnsi" w:hAnsiTheme="majorHAnsi" w:cs="Arial"/>
          <w:b/>
          <w:sz w:val="22"/>
          <w:szCs w:val="22"/>
        </w:rPr>
        <w:t>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bl>
    <w:p w:rsidR="00731427" w:rsidRDefault="00731427" w:rsidP="00731427">
      <w:pPr>
        <w:pStyle w:val="NoSpacing"/>
        <w:tabs>
          <w:tab w:val="left" w:pos="4145"/>
        </w:tabs>
        <w:rPr>
          <w:rFonts w:asciiTheme="majorHAnsi" w:hAnsiTheme="majorHAnsi" w:cs="Arial"/>
          <w:sz w:val="18"/>
          <w:szCs w:val="18"/>
        </w:rPr>
      </w:pPr>
    </w:p>
    <w:p w:rsidR="00731427" w:rsidRPr="00731427" w:rsidRDefault="00731427" w:rsidP="00731427">
      <w:pPr>
        <w:pStyle w:val="NoSpacing"/>
        <w:tabs>
          <w:tab w:val="left" w:pos="4145"/>
        </w:tabs>
        <w:rPr>
          <w:rFonts w:asciiTheme="majorHAnsi" w:hAnsiTheme="majorHAnsi" w:cs="Arial"/>
          <w:sz w:val="18"/>
          <w:szCs w:val="18"/>
        </w:rPr>
      </w:pPr>
      <w:r w:rsidRPr="00731427">
        <w:rPr>
          <w:rFonts w:asciiTheme="majorHAnsi" w:hAnsiTheme="majorHAnsi" w:cs="Arial"/>
          <w:sz w:val="18"/>
          <w:szCs w:val="18"/>
        </w:rPr>
        <w:lastRenderedPageBreak/>
        <w:t>5/31/15</w:t>
      </w:r>
    </w:p>
    <w:p w:rsidR="00731427" w:rsidRPr="00731427" w:rsidRDefault="00731427" w:rsidP="00731427">
      <w:pPr>
        <w:widowControl w:val="0"/>
        <w:autoSpaceDE w:val="0"/>
        <w:autoSpaceDN w:val="0"/>
        <w:adjustRightInd w:val="0"/>
        <w:rPr>
          <w:rFonts w:asciiTheme="majorHAnsi" w:hAnsiTheme="majorHAnsi" w:cs="Arial"/>
          <w:color w:val="000000"/>
          <w:sz w:val="18"/>
          <w:szCs w:val="18"/>
          <w:u w:val="single"/>
        </w:rPr>
      </w:pPr>
      <w:r w:rsidRPr="00731427">
        <w:rPr>
          <w:rFonts w:asciiTheme="majorHAnsi" w:hAnsiTheme="majorHAnsi" w:cs="Arial"/>
          <w:b/>
          <w:i/>
          <w:color w:val="000000"/>
          <w:sz w:val="18"/>
          <w:szCs w:val="18"/>
          <w:u w:val="single"/>
        </w:rPr>
        <w:t>Recap of 5/24/15 (1 Peter 4:3-6):</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1.  “Some…present Christianity with the same adjectives as a travel folder for a Caribbean cruise.  This chapter </w:t>
      </w:r>
      <w:r w:rsidR="005326B3" w:rsidRPr="00731427">
        <w:rPr>
          <w:rFonts w:asciiTheme="majorHAnsi" w:hAnsiTheme="majorHAnsi" w:cs="Arial"/>
          <w:bCs/>
          <w:i/>
          <w:color w:val="000000"/>
          <w:sz w:val="18"/>
          <w:szCs w:val="18"/>
        </w:rPr>
        <w:t>makes</w:t>
      </w:r>
      <w:r w:rsidRPr="00731427">
        <w:rPr>
          <w:rFonts w:asciiTheme="majorHAnsi" w:hAnsiTheme="majorHAnsi" w:cs="Arial"/>
          <w:bCs/>
          <w:i/>
          <w:color w:val="000000"/>
          <w:sz w:val="18"/>
          <w:szCs w:val="18"/>
        </w:rPr>
        <w:t xml:space="preserve"> no such claims!  Peter tells us to look at the experience of our Lord Jesus Christ.  He reminds us that as Christians we are to follow Him in His sufferings as well as His glory.  Although others may be surprised by our new way of life, we are not to be surprised if our experience is patterned after the Lord’s…</w:t>
      </w:r>
      <w:proofErr w:type="gramStart"/>
      <w:r w:rsidRPr="00731427">
        <w:rPr>
          <w:rFonts w:asciiTheme="majorHAnsi" w:hAnsiTheme="majorHAnsi" w:cs="Arial"/>
          <w:bCs/>
          <w:i/>
          <w:color w:val="000000"/>
          <w:sz w:val="18"/>
          <w:szCs w:val="18"/>
        </w:rPr>
        <w:t>.  those</w:t>
      </w:r>
      <w:proofErr w:type="gramEnd"/>
      <w:r w:rsidRPr="00731427">
        <w:rPr>
          <w:rFonts w:asciiTheme="majorHAnsi" w:hAnsiTheme="majorHAnsi" w:cs="Arial"/>
          <w:bCs/>
          <w:i/>
          <w:color w:val="000000"/>
          <w:sz w:val="18"/>
          <w:szCs w:val="18"/>
        </w:rPr>
        <w:t xml:space="preserve"> who trust in Jesus Christ will not be disappointed even in suffering we are assured of His faithfulness.”  (Authorship unknown)</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proofErr w:type="gramStart"/>
      <w:r w:rsidRPr="00731427">
        <w:rPr>
          <w:rFonts w:asciiTheme="majorHAnsi" w:hAnsiTheme="majorHAnsi" w:cs="Arial"/>
          <w:bCs/>
          <w:i/>
          <w:color w:val="000000"/>
          <w:sz w:val="18"/>
          <w:szCs w:val="18"/>
        </w:rPr>
        <w:t>2.  As</w:t>
      </w:r>
      <w:proofErr w:type="gramEnd"/>
      <w:r w:rsidRPr="00731427">
        <w:rPr>
          <w:rFonts w:asciiTheme="majorHAnsi" w:hAnsiTheme="majorHAnsi" w:cs="Arial"/>
          <w:bCs/>
          <w:i/>
          <w:color w:val="000000"/>
          <w:sz w:val="18"/>
          <w:szCs w:val="18"/>
        </w:rPr>
        <w:t xml:space="preserve"> believer’s in Jesus Christ we are called to live in a different way in our attitude toward morality, toward possessions, toward other people/relationships.  We are not to imitate the non-Christian world around us in these ways.  We spent enough time in the past in that kind of lifestyle (Peter characterizes as sexually promiscuous, drunken, and idolatrous.</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3.  “It’s easy for us to accommodate ourselves to the society in which we live.  Unless we are careful, we end up with the same priorities as everyone else.  May our priority system is overdue for a biblical check-up.” (Dr. Earl </w:t>
      </w:r>
      <w:proofErr w:type="spellStart"/>
      <w:r w:rsidRPr="00731427">
        <w:rPr>
          <w:rFonts w:asciiTheme="majorHAnsi" w:hAnsiTheme="majorHAnsi" w:cs="Arial"/>
          <w:bCs/>
          <w:i/>
          <w:color w:val="000000"/>
          <w:sz w:val="18"/>
          <w:szCs w:val="18"/>
        </w:rPr>
        <w:t>Radmacher</w:t>
      </w:r>
      <w:proofErr w:type="spellEnd"/>
      <w:r w:rsidRPr="00731427">
        <w:rPr>
          <w:rFonts w:asciiTheme="majorHAnsi" w:hAnsiTheme="majorHAnsi" w:cs="Arial"/>
          <w:bCs/>
          <w:i/>
          <w:color w:val="000000"/>
          <w:sz w:val="18"/>
          <w:szCs w:val="18"/>
        </w:rPr>
        <w:t>)</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 xml:space="preserve">4.  A Christian lifestyle of godliness is a condemnation of the values of pagan society.  The amazement of unbelievers soon turns to hatred of believers and our values.  We are seen by the world as a roadblock to their unrighteous agenda. Peter encourages Christians under persecution with the reminder that unbelievers will have to give an account of </w:t>
      </w:r>
      <w:proofErr w:type="gramStart"/>
      <w:r w:rsidRPr="00731427">
        <w:rPr>
          <w:rFonts w:asciiTheme="majorHAnsi" w:hAnsiTheme="majorHAnsi" w:cs="Arial"/>
          <w:bCs/>
          <w:i/>
          <w:color w:val="000000"/>
          <w:sz w:val="18"/>
          <w:szCs w:val="18"/>
        </w:rPr>
        <w:t>themselves</w:t>
      </w:r>
      <w:proofErr w:type="gramEnd"/>
      <w:r w:rsidRPr="00731427">
        <w:rPr>
          <w:rFonts w:asciiTheme="majorHAnsi" w:hAnsiTheme="majorHAnsi" w:cs="Arial"/>
          <w:bCs/>
          <w:i/>
          <w:color w:val="000000"/>
          <w:sz w:val="18"/>
          <w:szCs w:val="18"/>
        </w:rPr>
        <w:t xml:space="preserve"> to God.  They may be in control now, but ultimately will face God’s judgment.</w:t>
      </w:r>
    </w:p>
    <w:p w:rsidR="00731427" w:rsidRPr="00731427" w:rsidRDefault="00731427" w:rsidP="00731427">
      <w:pPr>
        <w:widowControl w:val="0"/>
        <w:autoSpaceDE w:val="0"/>
        <w:autoSpaceDN w:val="0"/>
        <w:adjustRightInd w:val="0"/>
        <w:rPr>
          <w:rFonts w:asciiTheme="majorHAnsi" w:hAnsiTheme="majorHAnsi" w:cs="Arial"/>
          <w:bCs/>
          <w:i/>
          <w:color w:val="000000"/>
          <w:sz w:val="18"/>
          <w:szCs w:val="18"/>
        </w:rPr>
      </w:pPr>
      <w:r w:rsidRPr="00731427">
        <w:rPr>
          <w:rFonts w:asciiTheme="majorHAnsi" w:hAnsiTheme="majorHAnsi" w:cs="Arial"/>
          <w:bCs/>
          <w:i/>
          <w:color w:val="000000"/>
          <w:sz w:val="18"/>
          <w:szCs w:val="18"/>
        </w:rPr>
        <w:t>5.  Lessons from 3:18-4:6:  Christians must expect opposition (Jesus is the example); Christians must serve God by faith; we can be encouraged because we are identified with Christ’s victory; Jesus is the only savior and the lost world needs to hear His gospel, there is no second chance; water baptism is important, by it we identify with Jesus and show that we have broken with the old life.  (Warren Wiersbe).  Additionally we must live in the victory over sin that Jesus has provided for us (reckon ourselves dead to sin, alive to righteousness); we must choose the will of God over the desire of the flesh; we must stand for God’s truth whatever the cost; and we must leave final judgment in God’s hands.</w:t>
      </w:r>
    </w:p>
    <w:p w:rsidR="00731427" w:rsidRPr="00731427" w:rsidRDefault="00731427" w:rsidP="00731427">
      <w:pPr>
        <w:widowControl w:val="0"/>
        <w:autoSpaceDE w:val="0"/>
        <w:autoSpaceDN w:val="0"/>
        <w:adjustRightInd w:val="0"/>
        <w:rPr>
          <w:rFonts w:asciiTheme="majorHAnsi" w:hAnsiTheme="majorHAnsi" w:cs="Arial"/>
          <w:b/>
          <w:bCs/>
          <w:i/>
          <w:color w:val="000000"/>
          <w:sz w:val="22"/>
          <w:szCs w:val="22"/>
        </w:rPr>
      </w:pPr>
    </w:p>
    <w:p w:rsidR="00731427" w:rsidRPr="00731427" w:rsidRDefault="00731427" w:rsidP="00731427">
      <w:pPr>
        <w:widowControl w:val="0"/>
        <w:autoSpaceDE w:val="0"/>
        <w:autoSpaceDN w:val="0"/>
        <w:adjustRightInd w:val="0"/>
        <w:rPr>
          <w:rFonts w:asciiTheme="majorHAnsi" w:hAnsiTheme="majorHAnsi" w:cs="Arial"/>
          <w:b/>
          <w:bCs/>
          <w:color w:val="000000"/>
          <w:sz w:val="22"/>
          <w:szCs w:val="22"/>
        </w:rPr>
      </w:pPr>
      <w:r w:rsidRPr="00731427">
        <w:rPr>
          <w:rFonts w:asciiTheme="majorHAnsi" w:hAnsiTheme="majorHAnsi" w:cs="Arial"/>
          <w:b/>
          <w:iCs/>
          <w:color w:val="000000"/>
          <w:sz w:val="22"/>
          <w:szCs w:val="22"/>
        </w:rPr>
        <w:t>“While We Wait“</w:t>
      </w:r>
    </w:p>
    <w:p w:rsidR="00731427" w:rsidRDefault="00731427" w:rsidP="00731427">
      <w:pPr>
        <w:widowControl w:val="0"/>
        <w:autoSpaceDE w:val="0"/>
        <w:autoSpaceDN w:val="0"/>
        <w:adjustRightInd w:val="0"/>
        <w:rPr>
          <w:rFonts w:asciiTheme="majorHAnsi" w:hAnsiTheme="majorHAnsi" w:cs="Arial"/>
          <w:b/>
          <w:bCs/>
          <w:color w:val="000000"/>
          <w:sz w:val="22"/>
          <w:szCs w:val="22"/>
        </w:rPr>
      </w:pPr>
      <w:r w:rsidRPr="00731427">
        <w:rPr>
          <w:rFonts w:asciiTheme="majorHAnsi" w:hAnsiTheme="majorHAnsi" w:cs="Arial"/>
          <w:b/>
          <w:bCs/>
          <w:color w:val="000000"/>
          <w:sz w:val="22"/>
          <w:szCs w:val="22"/>
        </w:rPr>
        <w:t>1 Peter 4:7-11</w:t>
      </w:r>
    </w:p>
    <w:p w:rsidR="00731427" w:rsidRPr="00731427" w:rsidRDefault="00731427" w:rsidP="00731427">
      <w:pPr>
        <w:widowControl w:val="0"/>
        <w:autoSpaceDE w:val="0"/>
        <w:autoSpaceDN w:val="0"/>
        <w:adjustRightInd w:val="0"/>
        <w:rPr>
          <w:rFonts w:asciiTheme="majorHAnsi" w:hAnsiTheme="majorHAnsi" w:cs="Arial"/>
          <w:b/>
          <w:bCs/>
          <w:color w:val="000000"/>
          <w:sz w:val="22"/>
          <w:szCs w:val="22"/>
        </w:rPr>
      </w:pPr>
    </w:p>
    <w:p w:rsidR="00731427" w:rsidRPr="00731427" w:rsidRDefault="00731427" w:rsidP="00731427">
      <w:pPr>
        <w:pStyle w:val="NoSpacing"/>
        <w:rPr>
          <w:rFonts w:asciiTheme="majorHAnsi" w:hAnsiTheme="majorHAnsi" w:cs="Arial"/>
          <w:b/>
          <w:sz w:val="22"/>
          <w:szCs w:val="22"/>
        </w:rPr>
      </w:pPr>
      <w:r w:rsidRPr="00731427">
        <w:rPr>
          <w:rFonts w:asciiTheme="majorHAnsi" w:hAnsiTheme="majorHAnsi"/>
          <w:b/>
          <w:sz w:val="22"/>
          <w:szCs w:val="22"/>
        </w:rPr>
        <w:t xml:space="preserve">  </w:t>
      </w:r>
      <w:r>
        <w:rPr>
          <w:rFonts w:asciiTheme="majorHAnsi" w:hAnsiTheme="majorHAnsi" w:cs="Arial"/>
          <w:b/>
          <w:sz w:val="22"/>
          <w:szCs w:val="22"/>
        </w:rPr>
        <w:t xml:space="preserve">I. </w:t>
      </w:r>
      <w:r w:rsidRPr="00731427">
        <w:rPr>
          <w:rFonts w:asciiTheme="majorHAnsi" w:hAnsiTheme="majorHAnsi" w:cs="Arial"/>
          <w:b/>
          <w:sz w:val="22"/>
          <w:szCs w:val="22"/>
        </w:rPr>
        <w:t>Doctrine   vs. 7a</w:t>
      </w:r>
    </w:p>
    <w:tbl>
      <w:tblPr>
        <w:tblStyle w:val="TableGrid"/>
        <w:tblW w:w="0" w:type="auto"/>
        <w:tblBorders>
          <w:left w:val="none" w:sz="0" w:space="0" w:color="auto"/>
          <w:right w:val="none" w:sz="0" w:space="0" w:color="auto"/>
        </w:tblBorders>
        <w:tblLook w:val="04A0"/>
      </w:tblPr>
      <w:tblGrid>
        <w:gridCol w:w="7416"/>
      </w:tblGrid>
      <w:tr w:rsidR="00731427" w:rsidRPr="00731427" w:rsidTr="00770B95">
        <w:tc>
          <w:tcPr>
            <w:tcW w:w="7416" w:type="dxa"/>
            <w:tcBorders>
              <w:top w:val="nil"/>
              <w:bottom w:val="single" w:sz="4" w:space="0" w:color="auto"/>
            </w:tcBorders>
          </w:tcPr>
          <w:p w:rsidR="00731427" w:rsidRPr="00731427" w:rsidRDefault="00731427" w:rsidP="00770B95">
            <w:pPr>
              <w:pStyle w:val="NoSpacing"/>
              <w:rPr>
                <w:rFonts w:asciiTheme="majorHAnsi" w:hAnsiTheme="majorHAnsi" w:cs="Arial"/>
                <w:b/>
                <w:sz w:val="22"/>
                <w:szCs w:val="22"/>
              </w:rPr>
            </w:pPr>
          </w:p>
        </w:tc>
      </w:tr>
      <w:tr w:rsidR="00731427" w:rsidRPr="00731427" w:rsidTr="00770B95">
        <w:tc>
          <w:tcPr>
            <w:tcW w:w="7416" w:type="dxa"/>
            <w:tcBorders>
              <w:top w:val="nil"/>
              <w:bottom w:val="single" w:sz="4" w:space="0" w:color="auto"/>
            </w:tcBorders>
          </w:tcPr>
          <w:p w:rsidR="00731427" w:rsidRPr="00731427" w:rsidRDefault="00731427" w:rsidP="00770B95">
            <w:pPr>
              <w:pStyle w:val="NoSpacing"/>
              <w:rPr>
                <w:rFonts w:asciiTheme="majorHAnsi" w:hAnsiTheme="majorHAnsi" w:cs="Arial"/>
                <w:b/>
                <w:sz w:val="22"/>
                <w:szCs w:val="22"/>
              </w:rPr>
            </w:pPr>
          </w:p>
        </w:tc>
      </w:tr>
      <w:tr w:rsidR="00731427" w:rsidRPr="00731427" w:rsidTr="00770B95">
        <w:trPr>
          <w:trHeight w:val="215"/>
        </w:trPr>
        <w:tc>
          <w:tcPr>
            <w:tcW w:w="7416" w:type="dxa"/>
            <w:tcBorders>
              <w:top w:val="single" w:sz="4" w:space="0" w:color="auto"/>
              <w:bottom w:val="single" w:sz="4" w:space="0" w:color="auto"/>
            </w:tcBorders>
          </w:tcPr>
          <w:p w:rsidR="00731427" w:rsidRPr="00731427" w:rsidRDefault="00731427" w:rsidP="00770B95">
            <w:pPr>
              <w:pStyle w:val="NoSpacing"/>
              <w:rPr>
                <w:rFonts w:asciiTheme="majorHAnsi" w:hAnsiTheme="majorHAnsi" w:cs="Arial"/>
                <w:b/>
                <w:sz w:val="22"/>
                <w:szCs w:val="22"/>
              </w:rPr>
            </w:pPr>
          </w:p>
        </w:tc>
      </w:tr>
    </w:tbl>
    <w:p w:rsidR="00731427" w:rsidRPr="00731427" w:rsidRDefault="00731427" w:rsidP="00731427">
      <w:pPr>
        <w:widowControl w:val="0"/>
        <w:autoSpaceDE w:val="0"/>
        <w:autoSpaceDN w:val="0"/>
        <w:adjustRightInd w:val="0"/>
        <w:rPr>
          <w:rFonts w:asciiTheme="majorHAnsi" w:hAnsiTheme="majorHAnsi" w:cs="Arial"/>
          <w:b/>
          <w:sz w:val="22"/>
          <w:szCs w:val="22"/>
        </w:rPr>
      </w:pPr>
    </w:p>
    <w:p w:rsidR="00731427" w:rsidRPr="00731427" w:rsidRDefault="00731427" w:rsidP="00731427">
      <w:pPr>
        <w:pStyle w:val="NoSpacing"/>
        <w:tabs>
          <w:tab w:val="left" w:pos="4145"/>
        </w:tabs>
        <w:rPr>
          <w:rFonts w:asciiTheme="majorHAnsi" w:hAnsiTheme="majorHAnsi" w:cs="Arial"/>
          <w:b/>
          <w:sz w:val="22"/>
          <w:szCs w:val="22"/>
        </w:rPr>
      </w:pPr>
      <w:r w:rsidRPr="00731427">
        <w:rPr>
          <w:rFonts w:asciiTheme="majorHAnsi" w:hAnsiTheme="majorHAnsi" w:cs="Arial"/>
          <w:b/>
          <w:sz w:val="22"/>
          <w:szCs w:val="22"/>
        </w:rPr>
        <w:t>II</w:t>
      </w:r>
      <w:r>
        <w:rPr>
          <w:rFonts w:asciiTheme="majorHAnsi" w:hAnsiTheme="majorHAnsi" w:cs="Arial"/>
          <w:b/>
          <w:sz w:val="22"/>
          <w:szCs w:val="22"/>
        </w:rPr>
        <w:t xml:space="preserve">. </w:t>
      </w:r>
      <w:r w:rsidRPr="00731427">
        <w:rPr>
          <w:rFonts w:asciiTheme="majorHAnsi" w:hAnsiTheme="majorHAnsi" w:cs="Arial"/>
          <w:b/>
          <w:sz w:val="22"/>
          <w:szCs w:val="22"/>
        </w:rPr>
        <w:t>Duty   vv. 7b-11a</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731427" w:rsidTr="00770B95">
        <w:tc>
          <w:tcPr>
            <w:tcW w:w="7416" w:type="dxa"/>
          </w:tcPr>
          <w:p w:rsidR="00731427" w:rsidRPr="00731427" w:rsidRDefault="00731427" w:rsidP="00770B95">
            <w:pPr>
              <w:pStyle w:val="NoSpacing"/>
              <w:rPr>
                <w:rFonts w:asciiTheme="majorHAnsi" w:hAnsiTheme="majorHAnsi" w:cs="Arial"/>
                <w:b/>
                <w:sz w:val="22"/>
                <w:szCs w:val="22"/>
              </w:rPr>
            </w:pPr>
          </w:p>
        </w:tc>
      </w:tr>
      <w:tr w:rsidR="00731427" w:rsidRPr="00731427" w:rsidTr="00770B95">
        <w:tc>
          <w:tcPr>
            <w:tcW w:w="7416" w:type="dxa"/>
          </w:tcPr>
          <w:p w:rsidR="00731427" w:rsidRPr="00731427" w:rsidRDefault="00731427" w:rsidP="00770B95">
            <w:pPr>
              <w:pStyle w:val="NoSpacing"/>
              <w:rPr>
                <w:rFonts w:asciiTheme="majorHAnsi" w:hAnsiTheme="majorHAnsi" w:cs="Arial"/>
                <w:b/>
                <w:sz w:val="22"/>
                <w:szCs w:val="22"/>
              </w:rPr>
            </w:pPr>
          </w:p>
        </w:tc>
      </w:tr>
      <w:tr w:rsidR="00731427" w:rsidRPr="00731427" w:rsidTr="00770B95">
        <w:tc>
          <w:tcPr>
            <w:tcW w:w="7416" w:type="dxa"/>
          </w:tcPr>
          <w:p w:rsidR="00731427" w:rsidRPr="00731427" w:rsidRDefault="00731427" w:rsidP="00770B95">
            <w:pPr>
              <w:pStyle w:val="NoSpacing"/>
              <w:rPr>
                <w:rFonts w:asciiTheme="majorHAnsi" w:hAnsiTheme="majorHAnsi" w:cs="Arial"/>
                <w:b/>
                <w:sz w:val="22"/>
                <w:szCs w:val="22"/>
              </w:rPr>
            </w:pPr>
          </w:p>
        </w:tc>
      </w:tr>
    </w:tbl>
    <w:p w:rsidR="00731427" w:rsidRPr="00731427" w:rsidRDefault="00731427" w:rsidP="00731427">
      <w:pPr>
        <w:pStyle w:val="NoSpacing"/>
        <w:tabs>
          <w:tab w:val="left" w:pos="4145"/>
        </w:tabs>
        <w:rPr>
          <w:rFonts w:asciiTheme="majorHAnsi" w:hAnsiTheme="majorHAnsi" w:cs="Arial"/>
          <w:b/>
          <w:sz w:val="22"/>
          <w:szCs w:val="22"/>
        </w:rPr>
      </w:pPr>
    </w:p>
    <w:p w:rsidR="00731427" w:rsidRPr="00731427" w:rsidRDefault="00731427" w:rsidP="00731427">
      <w:pPr>
        <w:pStyle w:val="NoSpacing"/>
        <w:tabs>
          <w:tab w:val="left" w:pos="4145"/>
        </w:tabs>
        <w:rPr>
          <w:rFonts w:asciiTheme="majorHAnsi" w:hAnsiTheme="majorHAnsi" w:cs="Arial"/>
          <w:b/>
          <w:sz w:val="22"/>
          <w:szCs w:val="22"/>
        </w:rPr>
      </w:pPr>
      <w:r w:rsidRPr="00731427">
        <w:rPr>
          <w:rFonts w:asciiTheme="majorHAnsi" w:hAnsiTheme="majorHAnsi" w:cs="Arial"/>
          <w:b/>
          <w:sz w:val="22"/>
          <w:szCs w:val="22"/>
        </w:rPr>
        <w:t>III.</w:t>
      </w:r>
      <w:r>
        <w:rPr>
          <w:rFonts w:asciiTheme="majorHAnsi" w:hAnsiTheme="majorHAnsi" w:cs="Arial"/>
          <w:b/>
          <w:sz w:val="22"/>
          <w:szCs w:val="22"/>
        </w:rPr>
        <w:t xml:space="preserve"> </w:t>
      </w:r>
      <w:r w:rsidRPr="00731427">
        <w:rPr>
          <w:rFonts w:asciiTheme="majorHAnsi" w:hAnsiTheme="majorHAnsi" w:cs="Arial"/>
          <w:b/>
          <w:sz w:val="22"/>
          <w:szCs w:val="22"/>
        </w:rPr>
        <w:t>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r w:rsidR="00731427" w:rsidRPr="00EA7805" w:rsidTr="00770B95">
        <w:tc>
          <w:tcPr>
            <w:tcW w:w="7416" w:type="dxa"/>
          </w:tcPr>
          <w:p w:rsidR="00731427" w:rsidRPr="00EA7805" w:rsidRDefault="00731427" w:rsidP="00770B95">
            <w:pPr>
              <w:pStyle w:val="NoSpacing"/>
              <w:rPr>
                <w:rFonts w:asciiTheme="majorHAnsi" w:hAnsiTheme="majorHAnsi" w:cs="Arial"/>
                <w:b/>
                <w:sz w:val="20"/>
                <w:szCs w:val="20"/>
              </w:rPr>
            </w:pPr>
          </w:p>
        </w:tc>
      </w:tr>
    </w:tbl>
    <w:p w:rsidR="00096EE8" w:rsidRPr="00EA7805" w:rsidRDefault="00096EE8" w:rsidP="00731427">
      <w:pPr>
        <w:pStyle w:val="NoSpacing"/>
        <w:tabs>
          <w:tab w:val="left" w:pos="4145"/>
        </w:tabs>
        <w:rPr>
          <w:rFonts w:asciiTheme="majorHAnsi" w:hAnsiTheme="majorHAnsi" w:cs="Arial"/>
          <w:sz w:val="18"/>
          <w:szCs w:val="18"/>
        </w:rPr>
      </w:pPr>
    </w:p>
    <w:sectPr w:rsidR="00096EE8" w:rsidRPr="00EA7805"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0F" w:rsidRDefault="0097670F" w:rsidP="0034283F">
      <w:r>
        <w:separator/>
      </w:r>
    </w:p>
  </w:endnote>
  <w:endnote w:type="continuationSeparator" w:id="0">
    <w:p w:rsidR="0097670F" w:rsidRDefault="0097670F"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0F" w:rsidRDefault="0097670F" w:rsidP="0034283F">
      <w:r>
        <w:separator/>
      </w:r>
    </w:p>
  </w:footnote>
  <w:footnote w:type="continuationSeparator" w:id="0">
    <w:p w:rsidR="0097670F" w:rsidRDefault="0097670F"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5667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56C"/>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0045-2348-46EE-98B7-AA1D2114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2015-05-28T16:29:00Z</dcterms:created>
  <dcterms:modified xsi:type="dcterms:W3CDTF">2015-05-28T16:32:00Z</dcterms:modified>
</cp:coreProperties>
</file>